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C8" w:rsidRDefault="009141C8" w:rsidP="009141C8">
      <w:pPr>
        <w:autoSpaceDE w:val="0"/>
        <w:autoSpaceDN w:val="0"/>
        <w:adjustRightInd w:val="0"/>
        <w:rPr>
          <w:rFonts w:ascii="Times-Roman" w:hAnsi="Times-Roman" w:cs="Times-Roman"/>
          <w:color w:val="000000"/>
          <w:sz w:val="29"/>
          <w:szCs w:val="29"/>
        </w:rPr>
      </w:pPr>
    </w:p>
    <w:p w:rsidR="009141C8" w:rsidRDefault="009141C8" w:rsidP="009141C8">
      <w:pPr>
        <w:autoSpaceDE w:val="0"/>
        <w:autoSpaceDN w:val="0"/>
        <w:adjustRightInd w:val="0"/>
        <w:jc w:val="center"/>
        <w:rPr>
          <w:rFonts w:ascii="Times-Roman" w:hAnsi="Times-Roman" w:cs="Times-Roman"/>
          <w:color w:val="000000"/>
          <w:sz w:val="29"/>
          <w:szCs w:val="29"/>
        </w:rPr>
      </w:pPr>
    </w:p>
    <w:p w:rsidR="009141C8" w:rsidRDefault="009141C8" w:rsidP="009141C8">
      <w:pPr>
        <w:autoSpaceDE w:val="0"/>
        <w:autoSpaceDN w:val="0"/>
        <w:adjustRightInd w:val="0"/>
        <w:jc w:val="center"/>
        <w:rPr>
          <w:rFonts w:ascii="Times-Roman" w:hAnsi="Times-Roman" w:cs="Times-Roman"/>
          <w:color w:val="000000"/>
          <w:sz w:val="29"/>
          <w:szCs w:val="29"/>
        </w:rPr>
      </w:pPr>
      <w:r>
        <w:rPr>
          <w:noProof/>
          <w:lang w:eastAsia="it-IT"/>
        </w:rPr>
        <w:drawing>
          <wp:inline distT="0" distB="0" distL="0" distR="0" wp14:anchorId="6ABD0055" wp14:editId="6FC2B549">
            <wp:extent cx="669925" cy="8293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829310"/>
                    </a:xfrm>
                    <a:prstGeom prst="rect">
                      <a:avLst/>
                    </a:prstGeom>
                    <a:noFill/>
                    <a:ln>
                      <a:noFill/>
                    </a:ln>
                  </pic:spPr>
                </pic:pic>
              </a:graphicData>
            </a:graphic>
          </wp:inline>
        </w:drawing>
      </w:r>
    </w:p>
    <w:p w:rsidR="009141C8" w:rsidRPr="00776E6B" w:rsidRDefault="009141C8" w:rsidP="009141C8">
      <w:pPr>
        <w:autoSpaceDE w:val="0"/>
        <w:autoSpaceDN w:val="0"/>
        <w:adjustRightInd w:val="0"/>
        <w:jc w:val="center"/>
        <w:rPr>
          <w:rFonts w:ascii="Times-Roman" w:hAnsi="Times-Roman" w:cs="Times-Roman"/>
          <w:color w:val="000000"/>
          <w:sz w:val="28"/>
          <w:szCs w:val="28"/>
        </w:rPr>
      </w:pPr>
    </w:p>
    <w:p w:rsidR="009141C8" w:rsidRPr="00776E6B" w:rsidRDefault="009141C8" w:rsidP="009141C8">
      <w:pPr>
        <w:autoSpaceDE w:val="0"/>
        <w:autoSpaceDN w:val="0"/>
        <w:adjustRightInd w:val="0"/>
        <w:jc w:val="center"/>
        <w:rPr>
          <w:rFonts w:ascii="Times-Roman" w:hAnsi="Times-Roman" w:cs="Times-Roman"/>
          <w:color w:val="000000"/>
          <w:sz w:val="28"/>
          <w:szCs w:val="28"/>
        </w:rPr>
      </w:pPr>
      <w:r w:rsidRPr="00776E6B">
        <w:rPr>
          <w:rFonts w:ascii="Times-Roman" w:hAnsi="Times-Roman" w:cs="Times-Roman"/>
          <w:color w:val="000000"/>
          <w:sz w:val="28"/>
          <w:szCs w:val="28"/>
        </w:rPr>
        <w:t>ORDINE PROVINCIALE DEI MEDICI CHIRURGHI</w:t>
      </w:r>
    </w:p>
    <w:p w:rsidR="009141C8" w:rsidRPr="00776E6B" w:rsidRDefault="009141C8" w:rsidP="009141C8">
      <w:pPr>
        <w:autoSpaceDE w:val="0"/>
        <w:autoSpaceDN w:val="0"/>
        <w:adjustRightInd w:val="0"/>
        <w:jc w:val="center"/>
        <w:rPr>
          <w:rFonts w:ascii="Times-Roman" w:hAnsi="Times-Roman" w:cs="Times-Roman"/>
          <w:color w:val="000000"/>
          <w:sz w:val="28"/>
          <w:szCs w:val="28"/>
        </w:rPr>
      </w:pPr>
      <w:r w:rsidRPr="00776E6B">
        <w:rPr>
          <w:rFonts w:ascii="Times-Roman" w:hAnsi="Times-Roman" w:cs="Times-Roman"/>
          <w:color w:val="000000"/>
          <w:sz w:val="28"/>
          <w:szCs w:val="28"/>
        </w:rPr>
        <w:t>E DEGLI ODONTOIATRI DI PAVIA</w:t>
      </w:r>
    </w:p>
    <w:p w:rsidR="009141C8" w:rsidRPr="009B1890" w:rsidRDefault="009141C8" w:rsidP="009141C8">
      <w:pPr>
        <w:autoSpaceDE w:val="0"/>
        <w:autoSpaceDN w:val="0"/>
        <w:adjustRightInd w:val="0"/>
        <w:jc w:val="center"/>
        <w:rPr>
          <w:rFonts w:ascii="Times New Roman" w:hAnsi="Times New Roman" w:cs="Times New Roman"/>
          <w:b/>
          <w:bCs/>
          <w:color w:val="000000"/>
          <w:sz w:val="28"/>
          <w:szCs w:val="28"/>
        </w:rPr>
      </w:pPr>
      <w:r w:rsidRPr="009B1890">
        <w:rPr>
          <w:rFonts w:ascii="Times New Roman" w:hAnsi="Times New Roman" w:cs="Times New Roman"/>
          <w:b/>
          <w:bCs/>
          <w:color w:val="000000"/>
          <w:sz w:val="28"/>
          <w:szCs w:val="28"/>
        </w:rPr>
        <w:t>Relazione annuale del Responsabile della prevenzione della corruzione e della trasparenza</w:t>
      </w:r>
    </w:p>
    <w:p w:rsidR="009141C8" w:rsidRPr="009B1890" w:rsidRDefault="009141C8" w:rsidP="009141C8">
      <w:pPr>
        <w:autoSpaceDE w:val="0"/>
        <w:autoSpaceDN w:val="0"/>
        <w:adjustRightInd w:val="0"/>
        <w:jc w:val="center"/>
        <w:rPr>
          <w:rFonts w:ascii="Times New Roman" w:hAnsi="Times New Roman" w:cs="Times New Roman"/>
          <w:b/>
          <w:bCs/>
          <w:color w:val="000000"/>
          <w:sz w:val="28"/>
          <w:szCs w:val="28"/>
        </w:rPr>
      </w:pPr>
      <w:r w:rsidRPr="009B1890">
        <w:rPr>
          <w:rFonts w:ascii="Times New Roman" w:hAnsi="Times New Roman" w:cs="Times New Roman"/>
          <w:b/>
          <w:bCs/>
          <w:color w:val="000000"/>
          <w:sz w:val="28"/>
          <w:szCs w:val="28"/>
        </w:rPr>
        <w:t>dell’Ordine Provinciale dei Medici Chirurghi e degli Odontoiatri di Pavia,</w:t>
      </w:r>
    </w:p>
    <w:p w:rsidR="009141C8" w:rsidRDefault="009141C8" w:rsidP="009141C8">
      <w:pPr>
        <w:autoSpaceDE w:val="0"/>
        <w:autoSpaceDN w:val="0"/>
        <w:adjustRightInd w:val="0"/>
        <w:jc w:val="center"/>
        <w:rPr>
          <w:rFonts w:ascii="Times New Roman" w:hAnsi="Times New Roman" w:cs="Times New Roman"/>
          <w:b/>
          <w:bCs/>
          <w:color w:val="000000"/>
          <w:sz w:val="28"/>
          <w:szCs w:val="28"/>
        </w:rPr>
      </w:pPr>
      <w:r w:rsidRPr="009B1890">
        <w:rPr>
          <w:rFonts w:ascii="Times New Roman" w:hAnsi="Times New Roman" w:cs="Times New Roman"/>
          <w:b/>
          <w:bCs/>
          <w:color w:val="000000"/>
          <w:sz w:val="28"/>
          <w:szCs w:val="28"/>
        </w:rPr>
        <w:t>ai sensi dell’art. 1, comma 14, della Legge n. 190/2012</w:t>
      </w:r>
    </w:p>
    <w:p w:rsidR="009141C8" w:rsidRPr="009B1890" w:rsidRDefault="009141C8" w:rsidP="009141C8">
      <w:pPr>
        <w:autoSpaceDE w:val="0"/>
        <w:autoSpaceDN w:val="0"/>
        <w:adjustRightInd w:val="0"/>
        <w:jc w:val="center"/>
        <w:rPr>
          <w:rFonts w:ascii="Times New Roman" w:hAnsi="Times New Roman" w:cs="Times New Roman"/>
          <w:b/>
          <w:bCs/>
          <w:color w:val="000000"/>
          <w:sz w:val="28"/>
          <w:szCs w:val="28"/>
        </w:rPr>
      </w:pPr>
    </w:p>
    <w:p w:rsidR="009141C8" w:rsidRDefault="009141C8" w:rsidP="009141C8">
      <w:pPr>
        <w:autoSpaceDE w:val="0"/>
        <w:autoSpaceDN w:val="0"/>
        <w:adjustRightInd w:val="0"/>
        <w:jc w:val="both"/>
        <w:rPr>
          <w:rFonts w:ascii="Times New Roman" w:hAnsi="Times New Roman" w:cs="Times New Roman"/>
          <w:color w:val="000000"/>
          <w:sz w:val="28"/>
          <w:szCs w:val="28"/>
        </w:rPr>
      </w:pPr>
      <w:r w:rsidRPr="009B1890">
        <w:rPr>
          <w:rFonts w:ascii="Times New Roman" w:hAnsi="Times New Roman" w:cs="Times New Roman"/>
          <w:color w:val="000000"/>
          <w:sz w:val="28"/>
          <w:szCs w:val="28"/>
        </w:rPr>
        <w:t>L’Ordine Provinciale dei Medici Chirurghi e degli Odontoiatri di Pavia (di seguito OMCeO Pavia)</w:t>
      </w:r>
      <w:r w:rsidR="000708B9">
        <w:rPr>
          <w:rFonts w:ascii="Times New Roman" w:hAnsi="Times New Roman" w:cs="Times New Roman"/>
          <w:color w:val="000000"/>
          <w:sz w:val="28"/>
          <w:szCs w:val="28"/>
        </w:rPr>
        <w:t xml:space="preserve"> ha continuato </w:t>
      </w:r>
      <w:r>
        <w:rPr>
          <w:rFonts w:ascii="Times New Roman" w:hAnsi="Times New Roman" w:cs="Times New Roman"/>
          <w:color w:val="000000"/>
          <w:sz w:val="28"/>
          <w:szCs w:val="28"/>
        </w:rPr>
        <w:t>nell’anno 201</w:t>
      </w:r>
      <w:r w:rsidR="000708B9">
        <w:rPr>
          <w:rFonts w:ascii="Times New Roman" w:hAnsi="Times New Roman" w:cs="Times New Roman"/>
          <w:color w:val="000000"/>
          <w:sz w:val="28"/>
          <w:szCs w:val="28"/>
        </w:rPr>
        <w:t>8  quanto avviato nell’anno 2017 in relazione alle previsioni del PTPCT 2018-2020</w:t>
      </w:r>
      <w:r>
        <w:rPr>
          <w:rFonts w:ascii="Times New Roman" w:hAnsi="Times New Roman" w:cs="Times New Roman"/>
          <w:color w:val="000000"/>
          <w:sz w:val="28"/>
          <w:szCs w:val="28"/>
        </w:rPr>
        <w:t xml:space="preserve"> con specifiche misure relative alle 3 </w:t>
      </w:r>
      <w:proofErr w:type="spellStart"/>
      <w:r>
        <w:rPr>
          <w:rFonts w:ascii="Times New Roman" w:hAnsi="Times New Roman" w:cs="Times New Roman"/>
          <w:color w:val="000000"/>
          <w:sz w:val="28"/>
          <w:szCs w:val="28"/>
        </w:rPr>
        <w:t>macroaree</w:t>
      </w:r>
      <w:proofErr w:type="spellEnd"/>
      <w:r>
        <w:rPr>
          <w:rFonts w:ascii="Times New Roman" w:hAnsi="Times New Roman" w:cs="Times New Roman"/>
          <w:color w:val="000000"/>
          <w:sz w:val="28"/>
          <w:szCs w:val="28"/>
        </w:rPr>
        <w:t xml:space="preserve"> di rischio specifiche previste dal PNA 2016 (delibera 831/2016 ANAC del 03.08.2016</w:t>
      </w:r>
      <w:r w:rsidRPr="009B1890">
        <w:rPr>
          <w:rFonts w:ascii="Times New Roman" w:hAnsi="Times New Roman" w:cs="Times New Roman"/>
          <w:color w:val="000000"/>
          <w:sz w:val="28"/>
          <w:szCs w:val="28"/>
        </w:rPr>
        <w:t xml:space="preserve"> pubblicata in G. U. n. 197 del 24.08.2016 </w:t>
      </w:r>
      <w:r w:rsidRPr="009B1890">
        <w:rPr>
          <w:rFonts w:ascii="Times New Roman" w:hAnsi="Times New Roman" w:cs="Times New Roman"/>
          <w:color w:val="000001"/>
          <w:sz w:val="28"/>
          <w:szCs w:val="28"/>
        </w:rPr>
        <w:t xml:space="preserve">– </w:t>
      </w:r>
      <w:proofErr w:type="spellStart"/>
      <w:r w:rsidRPr="009B1890">
        <w:rPr>
          <w:rFonts w:ascii="Times New Roman" w:hAnsi="Times New Roman" w:cs="Times New Roman"/>
          <w:color w:val="000001"/>
          <w:sz w:val="28"/>
          <w:szCs w:val="28"/>
        </w:rPr>
        <w:t>Suppl</w:t>
      </w:r>
      <w:proofErr w:type="spellEnd"/>
      <w:r w:rsidRPr="009B1890">
        <w:rPr>
          <w:rFonts w:ascii="Times New Roman" w:hAnsi="Times New Roman" w:cs="Times New Roman"/>
          <w:color w:val="000001"/>
          <w:sz w:val="28"/>
          <w:szCs w:val="28"/>
        </w:rPr>
        <w:t xml:space="preserve">. Ordinario n. 35) </w:t>
      </w:r>
      <w:r>
        <w:rPr>
          <w:rFonts w:ascii="Times New Roman" w:hAnsi="Times New Roman" w:cs="Times New Roman"/>
          <w:color w:val="000000"/>
          <w:sz w:val="28"/>
          <w:szCs w:val="28"/>
        </w:rPr>
        <w:t>ossia : formazione continua, rilascio pareri di congruità, indicazione di professionisti per l’affidamento di incarichi specifici.</w:t>
      </w:r>
    </w:p>
    <w:p w:rsidR="000708B9" w:rsidRDefault="000708B9" w:rsidP="009141C8">
      <w:pPr>
        <w:autoSpaceDE w:val="0"/>
        <w:autoSpaceDN w:val="0"/>
        <w:adjustRightInd w:val="0"/>
        <w:jc w:val="both"/>
        <w:rPr>
          <w:rFonts w:ascii="Times New Roman" w:hAnsi="Times New Roman" w:cs="Times New Roman"/>
          <w:color w:val="000000"/>
          <w:sz w:val="28"/>
          <w:szCs w:val="28"/>
        </w:rPr>
      </w:pPr>
    </w:p>
    <w:p w:rsidR="000708B9" w:rsidRDefault="000708B9" w:rsidP="009141C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Nel 2018 gli sforzi sono stati finalizzati alla rotazione del personale che, viste le ridotte dimensioni dell’Ente e dell’organico, è stata effettuata in particolare nella formazione continua e nel rilascio dei pareri di congruità  con momenti di “affiancamento”. Tale modalità , adeguata alla natura e alle ridotte dimensioni dell’Ente, ha favorito l’accrescimento delle competenze del singolo dipendente e al contempo ha favorito l’attuazione delle procedure previste di anticorruzione.</w:t>
      </w:r>
    </w:p>
    <w:p w:rsidR="009141C8" w:rsidRPr="009B1890" w:rsidRDefault="009141C8" w:rsidP="009141C8">
      <w:pPr>
        <w:autoSpaceDE w:val="0"/>
        <w:autoSpaceDN w:val="0"/>
        <w:adjustRightInd w:val="0"/>
        <w:jc w:val="both"/>
        <w:rPr>
          <w:rFonts w:ascii="Times New Roman" w:hAnsi="Times New Roman" w:cs="Times New Roman"/>
          <w:color w:val="000000"/>
          <w:sz w:val="28"/>
          <w:szCs w:val="28"/>
        </w:rPr>
      </w:pPr>
    </w:p>
    <w:p w:rsidR="009141C8" w:rsidRDefault="00B90A05" w:rsidP="009141C8">
      <w:pPr>
        <w:autoSpaceDE w:val="0"/>
        <w:autoSpaceDN w:val="0"/>
        <w:adjustRightInd w:val="0"/>
        <w:jc w:val="both"/>
        <w:rPr>
          <w:rFonts w:ascii="Times New Roman" w:hAnsi="Times New Roman" w:cs="Times New Roman"/>
          <w:color w:val="000001"/>
          <w:sz w:val="28"/>
          <w:szCs w:val="28"/>
        </w:rPr>
      </w:pPr>
      <w:r>
        <w:rPr>
          <w:rFonts w:ascii="Times New Roman" w:hAnsi="Times New Roman" w:cs="Times New Roman"/>
          <w:color w:val="000001"/>
          <w:sz w:val="28"/>
          <w:szCs w:val="28"/>
        </w:rPr>
        <w:t>N</w:t>
      </w:r>
      <w:r w:rsidR="009141C8" w:rsidRPr="009B1890">
        <w:rPr>
          <w:rFonts w:ascii="Times New Roman" w:hAnsi="Times New Roman" w:cs="Times New Roman"/>
          <w:color w:val="000001"/>
          <w:sz w:val="28"/>
          <w:szCs w:val="28"/>
        </w:rPr>
        <w:t xml:space="preserve">el </w:t>
      </w:r>
      <w:r>
        <w:rPr>
          <w:rFonts w:ascii="Times New Roman" w:hAnsi="Times New Roman" w:cs="Times New Roman"/>
          <w:color w:val="000001"/>
          <w:sz w:val="28"/>
          <w:szCs w:val="28"/>
        </w:rPr>
        <w:t xml:space="preserve">2018 </w:t>
      </w:r>
      <w:r w:rsidR="009141C8" w:rsidRPr="009B1890">
        <w:rPr>
          <w:rFonts w:ascii="Times New Roman" w:hAnsi="Times New Roman" w:cs="Times New Roman"/>
          <w:color w:val="000001"/>
          <w:sz w:val="28"/>
          <w:szCs w:val="28"/>
        </w:rPr>
        <w:t xml:space="preserve">OMCeO </w:t>
      </w:r>
      <w:r w:rsidR="009141C8">
        <w:rPr>
          <w:rFonts w:ascii="Times New Roman" w:hAnsi="Times New Roman" w:cs="Times New Roman"/>
          <w:color w:val="000001"/>
          <w:sz w:val="28"/>
          <w:szCs w:val="28"/>
        </w:rPr>
        <w:t>Pavia</w:t>
      </w:r>
      <w:r w:rsidR="009141C8" w:rsidRPr="009B1890">
        <w:rPr>
          <w:rFonts w:ascii="Times New Roman" w:hAnsi="Times New Roman" w:cs="Times New Roman"/>
          <w:color w:val="000001"/>
          <w:sz w:val="28"/>
          <w:szCs w:val="28"/>
        </w:rPr>
        <w:t>, pur considerando le numerose problematiche organizzative dovute alla sua specificità strutturale di Ordine professionale in particolare di dimensioni ridotte, si è impegnato per dotarsi di misure di prevenzione de</w:t>
      </w:r>
      <w:r>
        <w:rPr>
          <w:rFonts w:ascii="Times New Roman" w:hAnsi="Times New Roman" w:cs="Times New Roman"/>
          <w:color w:val="000001"/>
          <w:sz w:val="28"/>
          <w:szCs w:val="28"/>
        </w:rPr>
        <w:t>lla corruzione e di trasparenza.</w:t>
      </w: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p>
    <w:p w:rsidR="009141C8" w:rsidRDefault="009141C8" w:rsidP="009141C8">
      <w:pPr>
        <w:autoSpaceDE w:val="0"/>
        <w:autoSpaceDN w:val="0"/>
        <w:adjustRightInd w:val="0"/>
        <w:jc w:val="both"/>
        <w:rPr>
          <w:rFonts w:ascii="Times New Roman" w:hAnsi="Times New Roman" w:cs="Times New Roman"/>
          <w:color w:val="000001"/>
          <w:sz w:val="28"/>
          <w:szCs w:val="28"/>
        </w:rPr>
      </w:pPr>
      <w:r w:rsidRPr="009B1890">
        <w:rPr>
          <w:rFonts w:ascii="Times New Roman" w:hAnsi="Times New Roman" w:cs="Times New Roman"/>
          <w:color w:val="000001"/>
          <w:sz w:val="28"/>
          <w:szCs w:val="28"/>
        </w:rPr>
        <w:t xml:space="preserve">In merito alla misura generale relativa alla </w:t>
      </w:r>
      <w:r w:rsidRPr="009B1890">
        <w:rPr>
          <w:rFonts w:ascii="Times New Roman" w:hAnsi="Times New Roman" w:cs="Times New Roman"/>
          <w:color w:val="000001"/>
          <w:sz w:val="28"/>
          <w:szCs w:val="28"/>
          <w:u w:val="single"/>
        </w:rPr>
        <w:t>Trasparenza</w:t>
      </w:r>
      <w:r w:rsidRPr="009B1890">
        <w:rPr>
          <w:rFonts w:ascii="Times New Roman" w:hAnsi="Times New Roman" w:cs="Times New Roman"/>
          <w:color w:val="000001"/>
          <w:sz w:val="28"/>
          <w:szCs w:val="28"/>
        </w:rPr>
        <w:t xml:space="preserve"> sono stati pubblicati sul sito internet i dati con monitoraggi periodici e diretti viste </w:t>
      </w:r>
      <w:r>
        <w:rPr>
          <w:rFonts w:ascii="Times New Roman" w:hAnsi="Times New Roman" w:cs="Times New Roman"/>
          <w:color w:val="000001"/>
          <w:sz w:val="28"/>
          <w:szCs w:val="28"/>
        </w:rPr>
        <w:t>le ridotte dimensioni dell’Ente e nei limiti del possibile stante il numero esiguo di dipendenti in organico che devono far fronte a tutti i compiti previsti dalla legge istitutiva (D. CPS 233/46) e suo regolamento attuativo (DPR 221/50) oltre a tutti gli adempimenti propri delle P.A. Del resto risulta difficile incrementare l’organico per un Ente che si autofinanzia con le quote associative degli iscritti senza alcun finanziamento pubblico.</w:t>
      </w:r>
    </w:p>
    <w:p w:rsidR="00F93E01" w:rsidRDefault="00F93E01" w:rsidP="009141C8">
      <w:pPr>
        <w:autoSpaceDE w:val="0"/>
        <w:autoSpaceDN w:val="0"/>
        <w:adjustRightInd w:val="0"/>
        <w:jc w:val="both"/>
        <w:rPr>
          <w:rFonts w:ascii="Times New Roman" w:hAnsi="Times New Roman" w:cs="Times New Roman"/>
          <w:color w:val="000001"/>
          <w:sz w:val="28"/>
          <w:szCs w:val="28"/>
        </w:rPr>
      </w:pPr>
    </w:p>
    <w:p w:rsidR="009141C8" w:rsidRDefault="00F93E01" w:rsidP="009141C8">
      <w:pPr>
        <w:autoSpaceDE w:val="0"/>
        <w:autoSpaceDN w:val="0"/>
        <w:adjustRightInd w:val="0"/>
        <w:jc w:val="both"/>
        <w:rPr>
          <w:rFonts w:ascii="Times New Roman" w:hAnsi="Times New Roman" w:cs="Times New Roman"/>
          <w:color w:val="000001"/>
          <w:sz w:val="28"/>
          <w:szCs w:val="28"/>
        </w:rPr>
      </w:pPr>
      <w:r>
        <w:rPr>
          <w:rFonts w:ascii="Times New Roman" w:hAnsi="Times New Roman" w:cs="Times New Roman"/>
          <w:color w:val="000001"/>
          <w:sz w:val="28"/>
          <w:szCs w:val="28"/>
        </w:rPr>
        <w:t>N</w:t>
      </w:r>
      <w:r w:rsidR="009141C8">
        <w:rPr>
          <w:rFonts w:ascii="Times New Roman" w:hAnsi="Times New Roman" w:cs="Times New Roman"/>
          <w:color w:val="000001"/>
          <w:sz w:val="28"/>
          <w:szCs w:val="28"/>
        </w:rPr>
        <w:t xml:space="preserve">el 2018 </w:t>
      </w:r>
      <w:r>
        <w:rPr>
          <w:rFonts w:ascii="Times New Roman" w:hAnsi="Times New Roman" w:cs="Times New Roman"/>
          <w:color w:val="000001"/>
          <w:sz w:val="28"/>
          <w:szCs w:val="28"/>
        </w:rPr>
        <w:t xml:space="preserve">è stato adottato </w:t>
      </w:r>
      <w:r w:rsidR="009141C8">
        <w:rPr>
          <w:rFonts w:ascii="Times New Roman" w:hAnsi="Times New Roman" w:cs="Times New Roman"/>
          <w:color w:val="000001"/>
          <w:sz w:val="28"/>
          <w:szCs w:val="28"/>
        </w:rPr>
        <w:t>un regolamento per Accesso civico, accesso civico generalizzato e accesso agli atti</w:t>
      </w:r>
      <w:r>
        <w:rPr>
          <w:rFonts w:ascii="Times New Roman" w:hAnsi="Times New Roman" w:cs="Times New Roman"/>
          <w:color w:val="000001"/>
          <w:sz w:val="28"/>
          <w:szCs w:val="28"/>
        </w:rPr>
        <w:t xml:space="preserve"> per consentire una maggiore interazione tra P.A.  e </w:t>
      </w:r>
      <w:r>
        <w:rPr>
          <w:rFonts w:ascii="Times New Roman" w:hAnsi="Times New Roman" w:cs="Times New Roman"/>
          <w:color w:val="000001"/>
          <w:sz w:val="28"/>
          <w:szCs w:val="28"/>
        </w:rPr>
        <w:lastRenderedPageBreak/>
        <w:t>utenti</w:t>
      </w:r>
      <w:r w:rsidR="009141C8">
        <w:rPr>
          <w:rFonts w:ascii="Times New Roman" w:hAnsi="Times New Roman" w:cs="Times New Roman"/>
          <w:color w:val="000001"/>
          <w:sz w:val="28"/>
          <w:szCs w:val="28"/>
        </w:rPr>
        <w:t xml:space="preserve">. </w:t>
      </w:r>
      <w:r>
        <w:rPr>
          <w:rFonts w:ascii="Times New Roman" w:hAnsi="Times New Roman" w:cs="Times New Roman"/>
          <w:color w:val="000001"/>
          <w:sz w:val="28"/>
          <w:szCs w:val="28"/>
        </w:rPr>
        <w:t>E’ previsto</w:t>
      </w:r>
      <w:r w:rsidR="009141C8">
        <w:rPr>
          <w:rFonts w:ascii="Times New Roman" w:hAnsi="Times New Roman" w:cs="Times New Roman"/>
          <w:color w:val="000001"/>
          <w:sz w:val="28"/>
          <w:szCs w:val="28"/>
        </w:rPr>
        <w:t xml:space="preserve"> di conseguenza </w:t>
      </w:r>
      <w:r>
        <w:rPr>
          <w:rFonts w:ascii="Times New Roman" w:hAnsi="Times New Roman" w:cs="Times New Roman"/>
          <w:color w:val="000001"/>
          <w:sz w:val="28"/>
          <w:szCs w:val="28"/>
        </w:rPr>
        <w:t xml:space="preserve">per Regolamento </w:t>
      </w:r>
      <w:r w:rsidR="009141C8">
        <w:rPr>
          <w:rFonts w:ascii="Times New Roman" w:hAnsi="Times New Roman" w:cs="Times New Roman"/>
          <w:color w:val="000001"/>
          <w:sz w:val="28"/>
          <w:szCs w:val="28"/>
        </w:rPr>
        <w:t>un Registro degli accessi civici con relativo esito delle istanze.</w:t>
      </w:r>
    </w:p>
    <w:p w:rsidR="009141C8" w:rsidRDefault="009141C8" w:rsidP="009141C8">
      <w:pPr>
        <w:autoSpaceDE w:val="0"/>
        <w:autoSpaceDN w:val="0"/>
        <w:adjustRightInd w:val="0"/>
        <w:jc w:val="both"/>
        <w:rPr>
          <w:rFonts w:ascii="Times New Roman" w:hAnsi="Times New Roman" w:cs="Times New Roman"/>
          <w:color w:val="000001"/>
          <w:sz w:val="28"/>
          <w:szCs w:val="28"/>
        </w:rPr>
      </w:pPr>
      <w:r w:rsidRPr="009B1890">
        <w:rPr>
          <w:rFonts w:ascii="Times New Roman" w:hAnsi="Times New Roman" w:cs="Times New Roman"/>
          <w:color w:val="000001"/>
          <w:sz w:val="28"/>
          <w:szCs w:val="28"/>
        </w:rPr>
        <w:t>Non sono pervenute richieste di accesso civico.</w:t>
      </w:r>
      <w:r w:rsidR="00F93E01">
        <w:rPr>
          <w:rFonts w:ascii="Times New Roman" w:hAnsi="Times New Roman" w:cs="Times New Roman"/>
          <w:color w:val="000001"/>
          <w:sz w:val="28"/>
          <w:szCs w:val="28"/>
        </w:rPr>
        <w:t xml:space="preserve">  </w:t>
      </w:r>
    </w:p>
    <w:p w:rsidR="009141C8" w:rsidRDefault="009141C8" w:rsidP="009141C8">
      <w:pPr>
        <w:autoSpaceDE w:val="0"/>
        <w:autoSpaceDN w:val="0"/>
        <w:adjustRightInd w:val="0"/>
        <w:jc w:val="both"/>
        <w:rPr>
          <w:rFonts w:ascii="Times New Roman" w:hAnsi="Times New Roman" w:cs="Times New Roman"/>
          <w:color w:val="000001"/>
          <w:sz w:val="28"/>
          <w:szCs w:val="28"/>
        </w:rPr>
      </w:pPr>
    </w:p>
    <w:p w:rsidR="009141C8" w:rsidRDefault="00F93E01" w:rsidP="009141C8">
      <w:pPr>
        <w:autoSpaceDE w:val="0"/>
        <w:autoSpaceDN w:val="0"/>
        <w:adjustRightInd w:val="0"/>
        <w:jc w:val="both"/>
        <w:rPr>
          <w:rFonts w:ascii="Times New Roman" w:hAnsi="Times New Roman" w:cs="Times New Roman"/>
          <w:color w:val="000001"/>
          <w:sz w:val="28"/>
          <w:szCs w:val="28"/>
        </w:rPr>
      </w:pPr>
      <w:r>
        <w:rPr>
          <w:rFonts w:ascii="Times New Roman" w:hAnsi="Times New Roman" w:cs="Times New Roman"/>
          <w:color w:val="000001"/>
          <w:sz w:val="28"/>
          <w:szCs w:val="28"/>
        </w:rPr>
        <w:t xml:space="preserve">Nel 2018 è stata effettuata anche la </w:t>
      </w:r>
      <w:r w:rsidR="006019F3">
        <w:rPr>
          <w:rFonts w:ascii="Times New Roman" w:hAnsi="Times New Roman" w:cs="Times New Roman"/>
          <w:color w:val="000001"/>
          <w:sz w:val="28"/>
          <w:szCs w:val="28"/>
        </w:rPr>
        <w:t>Griglia di rilev</w:t>
      </w:r>
      <w:r w:rsidR="00C96ED5">
        <w:rPr>
          <w:rFonts w:ascii="Times New Roman" w:hAnsi="Times New Roman" w:cs="Times New Roman"/>
          <w:color w:val="000001"/>
          <w:sz w:val="28"/>
          <w:szCs w:val="28"/>
        </w:rPr>
        <w:t xml:space="preserve">azione OIV e la relativa attestazione da parte del RPCT in quanto nell’ente l’OIV è assente in base alla disposizione di cui al comma 2-bis dell’art. 2 del D. L. 101/13, inserito nella legge di conversione 30 ottobre 2013 n. 125, che esclude gli Ordini e Collegi professionali dal campo di applicazione dell’art. 4 e dell’art. 14 del D. </w:t>
      </w:r>
      <w:proofErr w:type="spellStart"/>
      <w:r w:rsidR="00C96ED5">
        <w:rPr>
          <w:rFonts w:ascii="Times New Roman" w:hAnsi="Times New Roman" w:cs="Times New Roman"/>
          <w:color w:val="000001"/>
          <w:sz w:val="28"/>
          <w:szCs w:val="28"/>
        </w:rPr>
        <w:t>Lgs</w:t>
      </w:r>
      <w:proofErr w:type="spellEnd"/>
      <w:r w:rsidR="00C96ED5">
        <w:rPr>
          <w:rFonts w:ascii="Times New Roman" w:hAnsi="Times New Roman" w:cs="Times New Roman"/>
          <w:color w:val="000001"/>
          <w:sz w:val="28"/>
          <w:szCs w:val="28"/>
        </w:rPr>
        <w:t>. 150/09.</w:t>
      </w:r>
    </w:p>
    <w:p w:rsidR="00F93E01" w:rsidRDefault="00F93E01" w:rsidP="009141C8">
      <w:pPr>
        <w:autoSpaceDE w:val="0"/>
        <w:autoSpaceDN w:val="0"/>
        <w:adjustRightInd w:val="0"/>
        <w:jc w:val="both"/>
        <w:rPr>
          <w:rFonts w:ascii="Times New Roman" w:hAnsi="Times New Roman" w:cs="Times New Roman"/>
          <w:color w:val="000001"/>
          <w:sz w:val="28"/>
          <w:szCs w:val="28"/>
        </w:rPr>
      </w:pPr>
    </w:p>
    <w:p w:rsidR="009141C8" w:rsidRDefault="009141C8" w:rsidP="009141C8">
      <w:pPr>
        <w:autoSpaceDE w:val="0"/>
        <w:autoSpaceDN w:val="0"/>
        <w:adjustRightInd w:val="0"/>
        <w:jc w:val="both"/>
        <w:rPr>
          <w:rFonts w:ascii="Times New Roman" w:hAnsi="Times New Roman" w:cs="Times New Roman"/>
          <w:color w:val="000001"/>
          <w:sz w:val="28"/>
          <w:szCs w:val="28"/>
        </w:rPr>
      </w:pPr>
      <w:r>
        <w:rPr>
          <w:rFonts w:ascii="Times New Roman" w:hAnsi="Times New Roman" w:cs="Times New Roman"/>
          <w:color w:val="000001"/>
          <w:sz w:val="28"/>
          <w:szCs w:val="28"/>
        </w:rPr>
        <w:t>Al fine di codificare il più</w:t>
      </w:r>
      <w:r w:rsidR="00C96ED5">
        <w:rPr>
          <w:rFonts w:ascii="Times New Roman" w:hAnsi="Times New Roman" w:cs="Times New Roman"/>
          <w:color w:val="000001"/>
          <w:sz w:val="28"/>
          <w:szCs w:val="28"/>
        </w:rPr>
        <w:t xml:space="preserve"> possibile le procedure nel 2019</w:t>
      </w:r>
      <w:r>
        <w:rPr>
          <w:rFonts w:ascii="Times New Roman" w:hAnsi="Times New Roman" w:cs="Times New Roman"/>
          <w:color w:val="000001"/>
          <w:sz w:val="28"/>
          <w:szCs w:val="28"/>
        </w:rPr>
        <w:t xml:space="preserve"> </w:t>
      </w:r>
      <w:r w:rsidR="00C96ED5">
        <w:rPr>
          <w:rFonts w:ascii="Times New Roman" w:hAnsi="Times New Roman" w:cs="Times New Roman"/>
          <w:color w:val="000001"/>
          <w:sz w:val="28"/>
          <w:szCs w:val="28"/>
        </w:rPr>
        <w:t xml:space="preserve">ci si propone </w:t>
      </w:r>
      <w:r>
        <w:rPr>
          <w:rFonts w:ascii="Times New Roman" w:hAnsi="Times New Roman" w:cs="Times New Roman"/>
          <w:color w:val="000001"/>
          <w:sz w:val="28"/>
          <w:szCs w:val="28"/>
        </w:rPr>
        <w:t>all’adozione nel 2018 del Manuale di gestione del Protocollo informatico per ottimizzare la t</w:t>
      </w:r>
      <w:r w:rsidR="00C96ED5">
        <w:rPr>
          <w:rFonts w:ascii="Times New Roman" w:hAnsi="Times New Roman" w:cs="Times New Roman"/>
          <w:color w:val="000001"/>
          <w:sz w:val="28"/>
          <w:szCs w:val="28"/>
        </w:rPr>
        <w:t xml:space="preserve">rasparenza da e verso l’esterno, che non è ancora stato possibile adottare essendo di particolare complessità; inoltre il protocollo è ancora in una fase tecnica di riorganizzazione secondo le indicazioni elaborate con </w:t>
      </w:r>
      <w:proofErr w:type="spellStart"/>
      <w:r w:rsidR="00C96ED5">
        <w:rPr>
          <w:rFonts w:ascii="Times New Roman" w:hAnsi="Times New Roman" w:cs="Times New Roman"/>
          <w:color w:val="000001"/>
          <w:sz w:val="28"/>
          <w:szCs w:val="28"/>
        </w:rPr>
        <w:t>FNOMCeO</w:t>
      </w:r>
      <w:proofErr w:type="spellEnd"/>
      <w:r w:rsidR="00C96ED5">
        <w:rPr>
          <w:rFonts w:ascii="Times New Roman" w:hAnsi="Times New Roman" w:cs="Times New Roman"/>
          <w:color w:val="000001"/>
          <w:sz w:val="28"/>
          <w:szCs w:val="28"/>
        </w:rPr>
        <w:t>.</w:t>
      </w:r>
    </w:p>
    <w:p w:rsidR="009141C8" w:rsidRDefault="009141C8" w:rsidP="009141C8">
      <w:pPr>
        <w:autoSpaceDE w:val="0"/>
        <w:autoSpaceDN w:val="0"/>
        <w:adjustRightInd w:val="0"/>
        <w:jc w:val="both"/>
        <w:rPr>
          <w:rFonts w:ascii="Times New Roman" w:hAnsi="Times New Roman" w:cs="Times New Roman"/>
          <w:color w:val="000001"/>
          <w:sz w:val="28"/>
          <w:szCs w:val="28"/>
        </w:rPr>
      </w:pPr>
    </w:p>
    <w:p w:rsidR="009141C8" w:rsidRDefault="00C96ED5" w:rsidP="009141C8">
      <w:pPr>
        <w:autoSpaceDE w:val="0"/>
        <w:autoSpaceDN w:val="0"/>
        <w:adjustRightInd w:val="0"/>
        <w:jc w:val="both"/>
        <w:rPr>
          <w:rFonts w:ascii="Times New Roman" w:hAnsi="Times New Roman" w:cs="Times New Roman"/>
          <w:color w:val="000001"/>
          <w:sz w:val="28"/>
          <w:szCs w:val="28"/>
        </w:rPr>
      </w:pPr>
      <w:r>
        <w:rPr>
          <w:rFonts w:ascii="Times New Roman" w:hAnsi="Times New Roman" w:cs="Times New Roman"/>
          <w:color w:val="000001"/>
          <w:sz w:val="28"/>
          <w:szCs w:val="28"/>
        </w:rPr>
        <w:t>Non è ancora stato istituito l’Albo fornitori, che era previsto, in quanto esso è risultato di difficile gestione per le ridotte dimensioni dell’Ente e l’organico esiguo. Si ritiene inoltre di valutare le nuove normative in materia di utilizzo di piattaforme informatiche. E’ stata comunque favorita la rotazione dei fornitori là dove ciò non compromettesse nei servizi essenziali il buon andamento e l’efficienza della P.A.</w:t>
      </w:r>
    </w:p>
    <w:p w:rsidR="00723107" w:rsidRPr="009B1890" w:rsidRDefault="00723107" w:rsidP="009141C8">
      <w:pPr>
        <w:autoSpaceDE w:val="0"/>
        <w:autoSpaceDN w:val="0"/>
        <w:adjustRightInd w:val="0"/>
        <w:jc w:val="both"/>
        <w:rPr>
          <w:rFonts w:ascii="Times New Roman" w:hAnsi="Times New Roman" w:cs="Times New Roman"/>
          <w:color w:val="000001"/>
          <w:sz w:val="28"/>
          <w:szCs w:val="28"/>
        </w:rPr>
      </w:pPr>
    </w:p>
    <w:p w:rsidR="009141C8" w:rsidRDefault="009141C8" w:rsidP="009141C8">
      <w:pPr>
        <w:autoSpaceDE w:val="0"/>
        <w:autoSpaceDN w:val="0"/>
        <w:adjustRightInd w:val="0"/>
        <w:jc w:val="both"/>
        <w:rPr>
          <w:rFonts w:ascii="Times New Roman" w:hAnsi="Times New Roman" w:cs="Times New Roman"/>
          <w:color w:val="000001"/>
          <w:sz w:val="28"/>
          <w:szCs w:val="28"/>
          <w:u w:val="single"/>
        </w:rPr>
      </w:pPr>
      <w:r w:rsidRPr="009B1890">
        <w:rPr>
          <w:rFonts w:ascii="Times New Roman" w:hAnsi="Times New Roman" w:cs="Times New Roman"/>
          <w:color w:val="000001"/>
          <w:sz w:val="28"/>
          <w:szCs w:val="28"/>
          <w:u w:val="single"/>
        </w:rPr>
        <w:t>Formazione</w:t>
      </w:r>
    </w:p>
    <w:p w:rsidR="009141C8" w:rsidRPr="00C9748D" w:rsidRDefault="009141C8" w:rsidP="009141C8">
      <w:pPr>
        <w:autoSpaceDE w:val="0"/>
        <w:autoSpaceDN w:val="0"/>
        <w:adjustRightInd w:val="0"/>
        <w:jc w:val="both"/>
        <w:rPr>
          <w:rFonts w:ascii="Times New Roman" w:hAnsi="Times New Roman" w:cs="Times New Roman"/>
          <w:color w:val="000001"/>
          <w:sz w:val="28"/>
          <w:szCs w:val="28"/>
        </w:rPr>
      </w:pPr>
      <w:r>
        <w:rPr>
          <w:rFonts w:ascii="Times New Roman" w:hAnsi="Times New Roman" w:cs="Times New Roman"/>
          <w:color w:val="000001"/>
          <w:sz w:val="28"/>
          <w:szCs w:val="28"/>
        </w:rPr>
        <w:t xml:space="preserve">E’ stata favorita la partecipazione ai corsi di aggiornamento in materia di trasparenza ed anticorruzione svoltisi a </w:t>
      </w:r>
      <w:r w:rsidR="00723107">
        <w:rPr>
          <w:rFonts w:ascii="Times New Roman" w:hAnsi="Times New Roman" w:cs="Times New Roman"/>
          <w:color w:val="000001"/>
          <w:sz w:val="28"/>
          <w:szCs w:val="28"/>
        </w:rPr>
        <w:t xml:space="preserve">Pavia a novembre e dicembre 2018 </w:t>
      </w:r>
      <w:r>
        <w:rPr>
          <w:rFonts w:ascii="Times New Roman" w:hAnsi="Times New Roman" w:cs="Times New Roman"/>
          <w:color w:val="000001"/>
          <w:sz w:val="28"/>
          <w:szCs w:val="28"/>
        </w:rPr>
        <w:t>con rilascio di attestati di formazione.</w:t>
      </w:r>
      <w:r w:rsidR="00723107">
        <w:rPr>
          <w:rFonts w:ascii="Times New Roman" w:hAnsi="Times New Roman" w:cs="Times New Roman"/>
          <w:color w:val="000001"/>
          <w:sz w:val="28"/>
          <w:szCs w:val="28"/>
        </w:rPr>
        <w:t xml:space="preserve"> Ciò ha comportato la possibilità di un utile confronto con colleghi di P.A. locali e sulla tematica dell’autocontrollo della P.A.</w:t>
      </w:r>
    </w:p>
    <w:p w:rsidR="009141C8" w:rsidRDefault="009141C8" w:rsidP="009141C8">
      <w:pPr>
        <w:autoSpaceDE w:val="0"/>
        <w:autoSpaceDN w:val="0"/>
        <w:adjustRightInd w:val="0"/>
        <w:jc w:val="both"/>
        <w:rPr>
          <w:rFonts w:ascii="Times New Roman" w:hAnsi="Times New Roman" w:cs="Times New Roman"/>
          <w:color w:val="000001"/>
          <w:sz w:val="28"/>
          <w:szCs w:val="28"/>
        </w:rPr>
      </w:pPr>
    </w:p>
    <w:p w:rsidR="009141C8"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u w:val="single"/>
        </w:rPr>
      </w:pPr>
      <w:r w:rsidRPr="009B1890">
        <w:rPr>
          <w:rFonts w:ascii="Times New Roman" w:hAnsi="Times New Roman" w:cs="Times New Roman"/>
          <w:color w:val="000001"/>
          <w:sz w:val="28"/>
          <w:szCs w:val="28"/>
          <w:u w:val="single"/>
        </w:rPr>
        <w:t>Rotazione del personale</w:t>
      </w:r>
    </w:p>
    <w:p w:rsidR="009141C8" w:rsidRDefault="00723107" w:rsidP="009141C8">
      <w:pPr>
        <w:autoSpaceDE w:val="0"/>
        <w:autoSpaceDN w:val="0"/>
        <w:adjustRightInd w:val="0"/>
        <w:jc w:val="both"/>
        <w:rPr>
          <w:rFonts w:ascii="Times New Roman" w:hAnsi="Times New Roman" w:cs="Times New Roman"/>
          <w:color w:val="000001"/>
          <w:sz w:val="28"/>
          <w:szCs w:val="28"/>
        </w:rPr>
      </w:pPr>
      <w:r>
        <w:rPr>
          <w:rFonts w:ascii="Times New Roman" w:hAnsi="Times New Roman" w:cs="Times New Roman"/>
          <w:color w:val="000001"/>
          <w:sz w:val="28"/>
          <w:szCs w:val="28"/>
        </w:rPr>
        <w:t>E’ stata applicata nel 2018</w:t>
      </w:r>
      <w:r w:rsidR="009141C8">
        <w:rPr>
          <w:rFonts w:ascii="Times New Roman" w:hAnsi="Times New Roman" w:cs="Times New Roman"/>
          <w:color w:val="000001"/>
          <w:sz w:val="28"/>
          <w:szCs w:val="28"/>
        </w:rPr>
        <w:t xml:space="preserve"> per il rilascio di pareri di congruità </w:t>
      </w:r>
      <w:r>
        <w:rPr>
          <w:rFonts w:ascii="Times New Roman" w:hAnsi="Times New Roman" w:cs="Times New Roman"/>
          <w:color w:val="000001"/>
          <w:sz w:val="28"/>
          <w:szCs w:val="28"/>
        </w:rPr>
        <w:t xml:space="preserve">e per la formazione ECM </w:t>
      </w:r>
      <w:r w:rsidR="009141C8">
        <w:rPr>
          <w:rFonts w:ascii="Times New Roman" w:hAnsi="Times New Roman" w:cs="Times New Roman"/>
          <w:color w:val="000001"/>
          <w:sz w:val="28"/>
          <w:szCs w:val="28"/>
        </w:rPr>
        <w:t>compatibilmente con l’esiguo numero di dipendenti.</w:t>
      </w: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u w:val="single"/>
        </w:rPr>
      </w:pPr>
      <w:r w:rsidRPr="009B1890">
        <w:rPr>
          <w:rFonts w:ascii="Times New Roman" w:hAnsi="Times New Roman" w:cs="Times New Roman"/>
          <w:color w:val="000001"/>
          <w:sz w:val="28"/>
          <w:szCs w:val="28"/>
          <w:u w:val="single"/>
        </w:rPr>
        <w:t>Incarichi extraistituzionali</w:t>
      </w:r>
    </w:p>
    <w:p w:rsidR="009141C8" w:rsidRDefault="009141C8" w:rsidP="009141C8">
      <w:pPr>
        <w:autoSpaceDE w:val="0"/>
        <w:autoSpaceDN w:val="0"/>
        <w:adjustRightInd w:val="0"/>
        <w:jc w:val="both"/>
        <w:rPr>
          <w:rFonts w:ascii="Times New Roman" w:hAnsi="Times New Roman" w:cs="Times New Roman"/>
          <w:color w:val="000001"/>
          <w:sz w:val="28"/>
          <w:szCs w:val="28"/>
        </w:rPr>
      </w:pPr>
      <w:r w:rsidRPr="009B1890">
        <w:rPr>
          <w:rFonts w:ascii="Times New Roman" w:hAnsi="Times New Roman" w:cs="Times New Roman"/>
          <w:color w:val="000001"/>
          <w:sz w:val="28"/>
          <w:szCs w:val="28"/>
        </w:rPr>
        <w:t>Non è stata adottata la procedura in assenza concreta di tale esigenza.</w:t>
      </w: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u w:val="single"/>
        </w:rPr>
      </w:pPr>
      <w:proofErr w:type="spellStart"/>
      <w:r w:rsidRPr="009B1890">
        <w:rPr>
          <w:rFonts w:ascii="Times New Roman" w:hAnsi="Times New Roman" w:cs="Times New Roman"/>
          <w:color w:val="000001"/>
          <w:sz w:val="28"/>
          <w:szCs w:val="28"/>
          <w:u w:val="single"/>
        </w:rPr>
        <w:t>Inconferibilità</w:t>
      </w:r>
      <w:proofErr w:type="spellEnd"/>
      <w:r w:rsidRPr="009B1890">
        <w:rPr>
          <w:rFonts w:ascii="Times New Roman" w:hAnsi="Times New Roman" w:cs="Times New Roman"/>
          <w:color w:val="000001"/>
          <w:sz w:val="28"/>
          <w:szCs w:val="28"/>
          <w:u w:val="single"/>
        </w:rPr>
        <w:t xml:space="preserve"> di incarichi dirigenziali ed incompatibilità specifiche per posizioni dirigenziali</w:t>
      </w:r>
    </w:p>
    <w:p w:rsidR="009141C8" w:rsidRDefault="009141C8" w:rsidP="009141C8">
      <w:pPr>
        <w:autoSpaceDE w:val="0"/>
        <w:autoSpaceDN w:val="0"/>
        <w:adjustRightInd w:val="0"/>
        <w:jc w:val="both"/>
        <w:rPr>
          <w:rFonts w:ascii="Times New Roman" w:hAnsi="Times New Roman" w:cs="Times New Roman"/>
          <w:color w:val="000001"/>
          <w:sz w:val="28"/>
          <w:szCs w:val="28"/>
        </w:rPr>
      </w:pPr>
      <w:r w:rsidRPr="009B1890">
        <w:rPr>
          <w:rFonts w:ascii="Times New Roman" w:hAnsi="Times New Roman" w:cs="Times New Roman"/>
          <w:color w:val="000001"/>
          <w:sz w:val="28"/>
          <w:szCs w:val="28"/>
        </w:rPr>
        <w:t>OMCeO Pavia non ha figure dirigenziali.</w:t>
      </w:r>
      <w:r>
        <w:rPr>
          <w:rFonts w:ascii="Times New Roman" w:hAnsi="Times New Roman" w:cs="Times New Roman"/>
          <w:color w:val="000001"/>
          <w:sz w:val="28"/>
          <w:szCs w:val="28"/>
        </w:rPr>
        <w:t xml:space="preserve"> </w:t>
      </w:r>
    </w:p>
    <w:p w:rsidR="009141C8"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u w:val="single"/>
        </w:rPr>
      </w:pPr>
      <w:r w:rsidRPr="009B1890">
        <w:rPr>
          <w:rFonts w:ascii="Times New Roman" w:hAnsi="Times New Roman" w:cs="Times New Roman"/>
          <w:color w:val="000001"/>
          <w:sz w:val="28"/>
          <w:szCs w:val="28"/>
          <w:u w:val="single"/>
        </w:rPr>
        <w:t xml:space="preserve">Segnalazione di condotte illecite (c.d. </w:t>
      </w:r>
      <w:proofErr w:type="spellStart"/>
      <w:r w:rsidRPr="009B1890">
        <w:rPr>
          <w:rFonts w:ascii="Times New Roman" w:hAnsi="Times New Roman" w:cs="Times New Roman"/>
          <w:color w:val="000001"/>
          <w:sz w:val="28"/>
          <w:szCs w:val="28"/>
          <w:u w:val="single"/>
        </w:rPr>
        <w:t>whistleblower</w:t>
      </w:r>
      <w:proofErr w:type="spellEnd"/>
      <w:r w:rsidRPr="009B1890">
        <w:rPr>
          <w:rFonts w:ascii="Times New Roman" w:hAnsi="Times New Roman" w:cs="Times New Roman"/>
          <w:color w:val="000001"/>
          <w:sz w:val="28"/>
          <w:szCs w:val="28"/>
          <w:u w:val="single"/>
        </w:rPr>
        <w:t>)</w:t>
      </w:r>
    </w:p>
    <w:p w:rsidR="009141C8" w:rsidRDefault="00723107" w:rsidP="009141C8">
      <w:pPr>
        <w:autoSpaceDE w:val="0"/>
        <w:autoSpaceDN w:val="0"/>
        <w:adjustRightInd w:val="0"/>
        <w:jc w:val="both"/>
        <w:rPr>
          <w:rFonts w:ascii="Times New Roman" w:hAnsi="Times New Roman" w:cs="Times New Roman"/>
          <w:color w:val="000001"/>
          <w:sz w:val="28"/>
          <w:szCs w:val="28"/>
        </w:rPr>
      </w:pPr>
      <w:r>
        <w:rPr>
          <w:rFonts w:ascii="Times New Roman" w:hAnsi="Times New Roman" w:cs="Times New Roman"/>
          <w:color w:val="000001"/>
          <w:sz w:val="28"/>
          <w:szCs w:val="28"/>
        </w:rPr>
        <w:t>S</w:t>
      </w:r>
      <w:r w:rsidR="009141C8">
        <w:rPr>
          <w:rFonts w:ascii="Times New Roman" w:hAnsi="Times New Roman" w:cs="Times New Roman"/>
          <w:color w:val="000001"/>
          <w:sz w:val="28"/>
          <w:szCs w:val="28"/>
        </w:rPr>
        <w:t>ono stati introdotti sia la procedura che il modello di segnalazione.</w:t>
      </w:r>
    </w:p>
    <w:p w:rsidR="009141C8" w:rsidRDefault="00723107" w:rsidP="009141C8">
      <w:pPr>
        <w:autoSpaceDE w:val="0"/>
        <w:autoSpaceDN w:val="0"/>
        <w:adjustRightInd w:val="0"/>
        <w:jc w:val="both"/>
        <w:rPr>
          <w:rFonts w:ascii="Times New Roman" w:hAnsi="Times New Roman" w:cs="Times New Roman"/>
          <w:color w:val="000001"/>
          <w:sz w:val="28"/>
          <w:szCs w:val="28"/>
        </w:rPr>
      </w:pPr>
      <w:r>
        <w:rPr>
          <w:rFonts w:ascii="Times New Roman" w:hAnsi="Times New Roman" w:cs="Times New Roman"/>
          <w:color w:val="000001"/>
          <w:sz w:val="28"/>
          <w:szCs w:val="28"/>
        </w:rPr>
        <w:lastRenderedPageBreak/>
        <w:t xml:space="preserve">E’ stato adottato </w:t>
      </w:r>
      <w:r w:rsidR="009141C8">
        <w:rPr>
          <w:rFonts w:ascii="Times New Roman" w:hAnsi="Times New Roman" w:cs="Times New Roman"/>
          <w:color w:val="000001"/>
          <w:sz w:val="28"/>
          <w:szCs w:val="28"/>
        </w:rPr>
        <w:t xml:space="preserve"> nel 2018 un sistema informativo dedicato con garanzia di anonimato (casella e-mail dedicata e consul</w:t>
      </w:r>
      <w:r>
        <w:rPr>
          <w:rFonts w:ascii="Times New Roman" w:hAnsi="Times New Roman" w:cs="Times New Roman"/>
          <w:color w:val="000001"/>
          <w:sz w:val="28"/>
          <w:szCs w:val="28"/>
        </w:rPr>
        <w:t>tabile esclusivamente dal RPCT), in quanto l’utilizzo di sistemi informatici più complessi avrebbe comportato un impatto di costi notevole per la P.A. che si autofinanzia. I dipendenti inoltre conoscono il sistema presente sul portale ANAC.</w:t>
      </w:r>
    </w:p>
    <w:p w:rsidR="009141C8"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u w:val="single"/>
        </w:rPr>
      </w:pPr>
      <w:r w:rsidRPr="009B1890">
        <w:rPr>
          <w:rFonts w:ascii="Times New Roman" w:hAnsi="Times New Roman" w:cs="Times New Roman"/>
          <w:color w:val="000001"/>
          <w:sz w:val="28"/>
          <w:szCs w:val="28"/>
          <w:u w:val="single"/>
        </w:rPr>
        <w:t>Codice di comportamento dei dipendenti</w:t>
      </w: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r w:rsidRPr="009B1890">
        <w:rPr>
          <w:rFonts w:ascii="Times New Roman" w:hAnsi="Times New Roman" w:cs="Times New Roman"/>
          <w:color w:val="000001"/>
          <w:sz w:val="28"/>
          <w:szCs w:val="28"/>
        </w:rPr>
        <w:t>E’ stato adottato già con delibera del 12.11.2014.</w:t>
      </w: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r w:rsidRPr="009B1890">
        <w:rPr>
          <w:rFonts w:ascii="Times New Roman" w:hAnsi="Times New Roman" w:cs="Times New Roman"/>
          <w:color w:val="000001"/>
          <w:sz w:val="28"/>
          <w:szCs w:val="28"/>
        </w:rPr>
        <w:t>Non sono pervenute segnalazioni relative alla violazione del D.P.R. 62/2013.</w:t>
      </w: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r w:rsidRPr="009B1890">
        <w:rPr>
          <w:rFonts w:ascii="Times New Roman" w:hAnsi="Times New Roman" w:cs="Times New Roman"/>
          <w:color w:val="000001"/>
          <w:sz w:val="28"/>
          <w:szCs w:val="28"/>
        </w:rPr>
        <w:t xml:space="preserve">Non sono pervenute neppure segnalazioni che prefigurano responsabilità disciplinari o penali e pertanto non sono stati fatti procedimenti disciplinari. Non sono pervenute segnalazioni nemmeno in merito a violazioni di divieti di cui all’art. 35 bis D. </w:t>
      </w:r>
      <w:proofErr w:type="spellStart"/>
      <w:r w:rsidRPr="009B1890">
        <w:rPr>
          <w:rFonts w:ascii="Times New Roman" w:hAnsi="Times New Roman" w:cs="Times New Roman"/>
          <w:color w:val="000001"/>
          <w:sz w:val="28"/>
          <w:szCs w:val="28"/>
        </w:rPr>
        <w:t>Lgs</w:t>
      </w:r>
      <w:proofErr w:type="spellEnd"/>
      <w:r w:rsidRPr="009B1890">
        <w:rPr>
          <w:rFonts w:ascii="Times New Roman" w:hAnsi="Times New Roman" w:cs="Times New Roman"/>
          <w:color w:val="000001"/>
          <w:sz w:val="28"/>
          <w:szCs w:val="28"/>
        </w:rPr>
        <w:t>. 165/2001.Non ci sono stati casi di attivazione delle azioni di tutela previste in eventuali protocolli di legalità o patti di integrità e non è stata effettuata la rotazione degli incarichi di arbitrato, in quanto non sono stati affidati incarichi di arbitrato.</w:t>
      </w: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9141C8" w:rsidP="009141C8">
      <w:pPr>
        <w:autoSpaceDE w:val="0"/>
        <w:autoSpaceDN w:val="0"/>
        <w:adjustRightInd w:val="0"/>
        <w:jc w:val="both"/>
        <w:rPr>
          <w:rFonts w:ascii="Times New Roman" w:hAnsi="Times New Roman" w:cs="Times New Roman"/>
          <w:color w:val="000001"/>
          <w:sz w:val="28"/>
          <w:szCs w:val="28"/>
        </w:rPr>
      </w:pPr>
    </w:p>
    <w:p w:rsidR="009141C8" w:rsidRPr="009B1890" w:rsidRDefault="003E3EEF" w:rsidP="009141C8">
      <w:pPr>
        <w:ind w:left="3540" w:firstLine="708"/>
        <w:jc w:val="both"/>
        <w:rPr>
          <w:rFonts w:ascii="Times New Roman" w:hAnsi="Times New Roman" w:cs="Times New Roman"/>
          <w:sz w:val="28"/>
          <w:szCs w:val="28"/>
        </w:rPr>
      </w:pPr>
      <w:r>
        <w:rPr>
          <w:rFonts w:ascii="Times New Roman" w:hAnsi="Times New Roman" w:cs="Times New Roman"/>
          <w:color w:val="000001"/>
          <w:sz w:val="28"/>
          <w:szCs w:val="28"/>
        </w:rPr>
        <w:t xml:space="preserve">F.to </w:t>
      </w:r>
      <w:bookmarkStart w:id="0" w:name="_GoBack"/>
      <w:bookmarkEnd w:id="0"/>
      <w:r w:rsidR="009141C8" w:rsidRPr="009B1890">
        <w:rPr>
          <w:rFonts w:ascii="Times New Roman" w:hAnsi="Times New Roman" w:cs="Times New Roman"/>
          <w:color w:val="000001"/>
          <w:sz w:val="28"/>
          <w:szCs w:val="28"/>
        </w:rPr>
        <w:t>Dott.ssa Daniela Mino</w:t>
      </w:r>
    </w:p>
    <w:p w:rsidR="00EC0694" w:rsidRDefault="00EC0694"/>
    <w:sectPr w:rsidR="00EC06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C8"/>
    <w:rsid w:val="000708B9"/>
    <w:rsid w:val="003E3EEF"/>
    <w:rsid w:val="0041657D"/>
    <w:rsid w:val="006019F3"/>
    <w:rsid w:val="00723107"/>
    <w:rsid w:val="009141C8"/>
    <w:rsid w:val="00B90A05"/>
    <w:rsid w:val="00C96ED5"/>
    <w:rsid w:val="00EC0694"/>
    <w:rsid w:val="00F93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1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41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4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1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41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4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849</Words>
  <Characters>4844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&lt;company organization&gt;</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Maiocchi</dc:creator>
  <cp:lastModifiedBy>Angela Maiocchi</cp:lastModifiedBy>
  <cp:revision>6</cp:revision>
  <dcterms:created xsi:type="dcterms:W3CDTF">2018-12-12T19:28:00Z</dcterms:created>
  <dcterms:modified xsi:type="dcterms:W3CDTF">2019-01-23T14:28:00Z</dcterms:modified>
</cp:coreProperties>
</file>